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83D2" w14:textId="77777777" w:rsidR="005728C3" w:rsidRDefault="005728C3" w:rsidP="005728C3">
      <w:pPr>
        <w:pStyle w:val="Normal1"/>
        <w:tabs>
          <w:tab w:val="left" w:pos="1134"/>
        </w:tabs>
        <w:spacing w:after="0" w:line="240" w:lineRule="auto"/>
        <w:ind w:left="709" w:right="395"/>
        <w:rPr>
          <w:rFonts w:ascii="Book Antiqua" w:eastAsia="Book Antiqua" w:hAnsi="Book Antiqua" w:cs="Book Antiqua"/>
          <w:b/>
          <w:sz w:val="36"/>
          <w:szCs w:val="36"/>
        </w:rPr>
      </w:pPr>
    </w:p>
    <w:p w14:paraId="4FE67052" w14:textId="6E06EC3F" w:rsidR="005728C3" w:rsidRPr="005728C3" w:rsidRDefault="005728C3" w:rsidP="005728C3">
      <w:pPr>
        <w:pStyle w:val="Normal1"/>
        <w:tabs>
          <w:tab w:val="left" w:pos="1134"/>
        </w:tabs>
        <w:spacing w:after="0" w:line="240" w:lineRule="auto"/>
        <w:ind w:left="709" w:right="395"/>
        <w:rPr>
          <w:rFonts w:ascii="Book Antiqua" w:eastAsia="Book Antiqua" w:hAnsi="Book Antiqua" w:cs="Book Antiqua"/>
          <w:sz w:val="36"/>
          <w:szCs w:val="36"/>
        </w:rPr>
      </w:pPr>
      <w:r w:rsidRPr="005728C3">
        <w:rPr>
          <w:rFonts w:ascii="Book Antiqua" w:eastAsia="Book Antiqua" w:hAnsi="Book Antiqua" w:cs="Book Antiqua"/>
          <w:b/>
          <w:sz w:val="36"/>
          <w:szCs w:val="36"/>
        </w:rPr>
        <w:t>Metagen</w:t>
      </w:r>
      <w:r w:rsidRPr="005728C3">
        <w:rPr>
          <w:rFonts w:ascii="Book Antiqua" w:eastAsia="Book Antiqua" w:hAnsi="Book Antiqua" w:cs="Book Antiqua"/>
          <w:b/>
          <w:sz w:val="36"/>
          <w:szCs w:val="36"/>
        </w:rPr>
        <w:t xml:space="preserve">ômica e perfil bioativo de kombuchas </w:t>
      </w:r>
      <w:r w:rsidRPr="005728C3">
        <w:rPr>
          <w:rFonts w:ascii="Book Antiqua" w:eastAsia="Book Antiqua" w:hAnsi="Book Antiqua" w:cs="Book Antiqua"/>
          <w:b/>
          <w:sz w:val="36"/>
          <w:szCs w:val="36"/>
        </w:rPr>
        <w:t>artesana</w:t>
      </w:r>
      <w:r>
        <w:rPr>
          <w:rFonts w:ascii="Book Antiqua" w:eastAsia="Book Antiqua" w:hAnsi="Book Antiqua" w:cs="Book Antiqua"/>
          <w:b/>
          <w:sz w:val="36"/>
          <w:szCs w:val="36"/>
        </w:rPr>
        <w:t>is</w:t>
      </w:r>
      <w:r w:rsidRPr="005728C3">
        <w:rPr>
          <w:rFonts w:ascii="Book Antiqua" w:eastAsia="Book Antiqua" w:hAnsi="Book Antiqua" w:cs="Book Antiqua"/>
          <w:b/>
          <w:sz w:val="36"/>
          <w:szCs w:val="36"/>
        </w:rPr>
        <w:t xml:space="preserve"> </w:t>
      </w:r>
      <w:r>
        <w:rPr>
          <w:rFonts w:ascii="Book Antiqua" w:eastAsia="Book Antiqua" w:hAnsi="Book Antiqua" w:cs="Book Antiqua"/>
          <w:b/>
          <w:sz w:val="36"/>
          <w:szCs w:val="36"/>
        </w:rPr>
        <w:t>b</w:t>
      </w:r>
      <w:r w:rsidRPr="005728C3">
        <w:rPr>
          <w:rFonts w:ascii="Book Antiqua" w:eastAsia="Book Antiqua" w:hAnsi="Book Antiqua" w:cs="Book Antiqua"/>
          <w:b/>
          <w:sz w:val="36"/>
          <w:szCs w:val="36"/>
        </w:rPr>
        <w:t xml:space="preserve">rasileiras </w:t>
      </w:r>
    </w:p>
    <w:p w14:paraId="55D27FDA" w14:textId="77777777" w:rsidR="00053CE6" w:rsidRPr="005728C3" w:rsidRDefault="00053CE6">
      <w:pPr>
        <w:pStyle w:val="Normal1"/>
        <w:spacing w:after="0" w:line="240" w:lineRule="auto"/>
        <w:ind w:left="709" w:right="1529"/>
        <w:rPr>
          <w:rFonts w:ascii="Book Antiqua" w:eastAsia="Book Antiqua" w:hAnsi="Book Antiqua" w:cs="Book Antiqua"/>
          <w:sz w:val="20"/>
          <w:szCs w:val="20"/>
        </w:rPr>
      </w:pPr>
    </w:p>
    <w:p w14:paraId="76032CE9" w14:textId="4BF7E53C" w:rsidR="005728C3" w:rsidRPr="00B3538E" w:rsidRDefault="005728C3" w:rsidP="005728C3">
      <w:pPr>
        <w:pStyle w:val="Normal1"/>
        <w:spacing w:after="0" w:line="240" w:lineRule="auto"/>
        <w:ind w:left="709" w:right="1529"/>
        <w:jc w:val="both"/>
        <w:rPr>
          <w:rFonts w:ascii="Book Antiqua" w:eastAsia="Book Antiqua" w:hAnsi="Book Antiqua" w:cs="Book Antiqua"/>
          <w:b/>
          <w:sz w:val="20"/>
          <w:szCs w:val="20"/>
          <w:vertAlign w:val="superscript"/>
        </w:rPr>
      </w:pPr>
      <w:r w:rsidRPr="005728C3">
        <w:rPr>
          <w:rFonts w:ascii="Book Antiqua" w:eastAsia="Book Antiqua" w:hAnsi="Book Antiqua" w:cs="Book Antiqua"/>
          <w:b/>
          <w:sz w:val="20"/>
          <w:szCs w:val="20"/>
          <w:u w:val="single"/>
        </w:rPr>
        <w:t>André Ricardo Ferreira da Silva Rocha</w:t>
      </w:r>
      <w:r w:rsidRPr="0071455D">
        <w:rPr>
          <w:rFonts w:ascii="Book Antiqua" w:eastAsia="Book Antiqua" w:hAnsi="Book Antiqua" w:cs="Book Antiqua"/>
          <w:b/>
          <w:sz w:val="20"/>
          <w:szCs w:val="20"/>
        </w:rPr>
        <w:t xml:space="preserve"> </w:t>
      </w:r>
      <w:r w:rsidRPr="0071455D">
        <w:rPr>
          <w:rFonts w:ascii="Book Antiqua" w:eastAsia="Book Antiqua" w:hAnsi="Book Antiqua" w:cs="Book Antiqua"/>
          <w:b/>
          <w:sz w:val="20"/>
          <w:szCs w:val="20"/>
          <w:vertAlign w:val="superscript"/>
        </w:rPr>
        <w:t>1*</w:t>
      </w:r>
      <w:r w:rsidRPr="0071455D">
        <w:rPr>
          <w:rFonts w:ascii="Book Antiqua" w:eastAsia="Book Antiqua" w:hAnsi="Book Antiqua" w:cs="Book Antiqua"/>
          <w:b/>
          <w:sz w:val="20"/>
          <w:szCs w:val="20"/>
        </w:rPr>
        <w:t xml:space="preserve">, Paulo Pedroso Júnior </w:t>
      </w:r>
      <w:r w:rsidRPr="0071455D">
        <w:rPr>
          <w:rFonts w:ascii="Book Antiqua" w:eastAsia="Book Antiqua" w:hAnsi="Book Antiqua" w:cs="Book Antiqua"/>
          <w:b/>
          <w:sz w:val="20"/>
          <w:szCs w:val="20"/>
          <w:vertAlign w:val="superscript"/>
        </w:rPr>
        <w:t>1</w:t>
      </w:r>
      <w:r w:rsidRPr="0071455D">
        <w:rPr>
          <w:rFonts w:ascii="Book Antiqua" w:eastAsia="Book Antiqua" w:hAnsi="Book Antiqua" w:cs="Book Antiqua"/>
          <w:b/>
          <w:sz w:val="20"/>
          <w:szCs w:val="20"/>
        </w:rPr>
        <w:t xml:space="preserve">, </w:t>
      </w:r>
      <w:r>
        <w:rPr>
          <w:rFonts w:ascii="Book Antiqua" w:eastAsia="Book Antiqua" w:hAnsi="Book Antiqua" w:cs="Book Antiqua"/>
          <w:b/>
          <w:sz w:val="20"/>
          <w:szCs w:val="20"/>
        </w:rPr>
        <w:t xml:space="preserve">Bárbara </w:t>
      </w:r>
      <w:proofErr w:type="spellStart"/>
      <w:r>
        <w:rPr>
          <w:rFonts w:ascii="Book Antiqua" w:eastAsia="Book Antiqua" w:hAnsi="Book Antiqua" w:cs="Book Antiqua"/>
          <w:b/>
          <w:sz w:val="20"/>
          <w:szCs w:val="20"/>
        </w:rPr>
        <w:t>Côgo</w:t>
      </w:r>
      <w:proofErr w:type="spellEnd"/>
      <w:r>
        <w:rPr>
          <w:rFonts w:ascii="Book Antiqua" w:eastAsia="Book Antiqua" w:hAnsi="Book Antiqua" w:cs="Book Antiqua"/>
          <w:b/>
          <w:sz w:val="20"/>
          <w:szCs w:val="20"/>
        </w:rPr>
        <w:t xml:space="preserve"> Venturim</w:t>
      </w:r>
      <w:r w:rsidRPr="0071455D">
        <w:rPr>
          <w:rFonts w:ascii="Book Antiqua" w:eastAsia="Book Antiqua" w:hAnsi="Book Antiqua" w:cs="Book Antiqua"/>
          <w:b/>
          <w:sz w:val="20"/>
          <w:szCs w:val="20"/>
          <w:vertAlign w:val="superscript"/>
        </w:rPr>
        <w:t>1</w:t>
      </w:r>
      <w:r>
        <w:rPr>
          <w:rFonts w:ascii="Book Antiqua" w:eastAsia="Book Antiqua" w:hAnsi="Book Antiqua" w:cs="Book Antiqua"/>
          <w:b/>
          <w:sz w:val="20"/>
          <w:szCs w:val="20"/>
        </w:rPr>
        <w:t xml:space="preserve">, John </w:t>
      </w:r>
      <w:proofErr w:type="spellStart"/>
      <w:r>
        <w:rPr>
          <w:rFonts w:ascii="Book Antiqua" w:eastAsia="Book Antiqua" w:hAnsi="Book Antiqua" w:cs="Book Antiqua"/>
          <w:b/>
          <w:sz w:val="20"/>
          <w:szCs w:val="20"/>
        </w:rPr>
        <w:t>Leech</w:t>
      </w:r>
      <w:proofErr w:type="spellEnd"/>
      <w:r>
        <w:rPr>
          <w:rFonts w:ascii="Book Antiqua" w:eastAsia="Book Antiqua" w:hAnsi="Book Antiqua" w:cs="Book Antiqua"/>
          <w:b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sz w:val="20"/>
          <w:szCs w:val="20"/>
          <w:vertAlign w:val="superscript"/>
        </w:rPr>
        <w:t>2</w:t>
      </w:r>
      <w:r>
        <w:rPr>
          <w:rFonts w:ascii="Book Antiqua" w:eastAsia="Book Antiqua" w:hAnsi="Book Antiqua" w:cs="Book Antiqua"/>
          <w:b/>
          <w:sz w:val="20"/>
          <w:szCs w:val="20"/>
        </w:rPr>
        <w:t xml:space="preserve">, Paul D. </w:t>
      </w:r>
      <w:proofErr w:type="spellStart"/>
      <w:r>
        <w:rPr>
          <w:rFonts w:ascii="Book Antiqua" w:eastAsia="Book Antiqua" w:hAnsi="Book Antiqua" w:cs="Book Antiqua"/>
          <w:b/>
          <w:sz w:val="20"/>
          <w:szCs w:val="20"/>
        </w:rPr>
        <w:t>Cotter</w:t>
      </w:r>
      <w:proofErr w:type="spellEnd"/>
      <w:r>
        <w:rPr>
          <w:rFonts w:ascii="Book Antiqua" w:eastAsia="Book Antiqua" w:hAnsi="Book Antiqua" w:cs="Book Antiqua"/>
          <w:b/>
          <w:sz w:val="20"/>
          <w:szCs w:val="20"/>
        </w:rPr>
        <w:t xml:space="preserve"> </w:t>
      </w:r>
      <w:r>
        <w:rPr>
          <w:rFonts w:ascii="Book Antiqua" w:eastAsia="Book Antiqua" w:hAnsi="Book Antiqua" w:cs="Book Antiqua"/>
          <w:b/>
          <w:sz w:val="20"/>
          <w:szCs w:val="20"/>
          <w:vertAlign w:val="superscript"/>
        </w:rPr>
        <w:t>2</w:t>
      </w:r>
      <w:r>
        <w:rPr>
          <w:rFonts w:ascii="Book Antiqua" w:eastAsia="Book Antiqua" w:hAnsi="Book Antiqua" w:cs="Book Antiqua"/>
          <w:b/>
          <w:sz w:val="20"/>
          <w:szCs w:val="20"/>
        </w:rPr>
        <w:t xml:space="preserve">, </w:t>
      </w:r>
      <w:r w:rsidRPr="0071455D">
        <w:rPr>
          <w:rFonts w:ascii="Book Antiqua" w:eastAsia="Book Antiqua" w:hAnsi="Book Antiqua" w:cs="Book Antiqua"/>
          <w:b/>
          <w:sz w:val="20"/>
          <w:szCs w:val="20"/>
        </w:rPr>
        <w:t xml:space="preserve">José Guilherme Prado Martin </w:t>
      </w:r>
      <w:r w:rsidRPr="0071455D">
        <w:rPr>
          <w:rFonts w:ascii="Book Antiqua" w:eastAsia="Book Antiqua" w:hAnsi="Book Antiqua" w:cs="Book Antiqua"/>
          <w:b/>
          <w:sz w:val="20"/>
          <w:szCs w:val="20"/>
          <w:vertAlign w:val="superscript"/>
        </w:rPr>
        <w:t>1</w:t>
      </w:r>
    </w:p>
    <w:p w14:paraId="72DEE92B" w14:textId="77777777" w:rsidR="005728C3" w:rsidRPr="00B3538E" w:rsidRDefault="005728C3" w:rsidP="005728C3">
      <w:pPr>
        <w:pStyle w:val="Normal1"/>
        <w:spacing w:after="0" w:line="240" w:lineRule="auto"/>
        <w:ind w:left="709" w:right="1529"/>
        <w:rPr>
          <w:rFonts w:ascii="Book Antiqua" w:eastAsia="Book Antiqua" w:hAnsi="Book Antiqua" w:cs="Book Antiqua"/>
          <w:sz w:val="20"/>
          <w:szCs w:val="20"/>
        </w:rPr>
      </w:pPr>
    </w:p>
    <w:p w14:paraId="6CA400A4" w14:textId="16DD15D9" w:rsidR="005728C3" w:rsidRPr="005728C3" w:rsidRDefault="005728C3" w:rsidP="005728C3">
      <w:pPr>
        <w:pStyle w:val="Normal1"/>
        <w:spacing w:after="0" w:line="240" w:lineRule="auto"/>
        <w:ind w:left="709" w:right="1529"/>
        <w:jc w:val="both"/>
        <w:rPr>
          <w:rFonts w:ascii="Book Antiqua" w:eastAsia="Book Antiqua" w:hAnsi="Book Antiqua" w:cs="Book Antiqua"/>
          <w:i/>
          <w:sz w:val="16"/>
          <w:szCs w:val="16"/>
        </w:rPr>
      </w:pPr>
      <w:r w:rsidRPr="005728C3">
        <w:rPr>
          <w:rFonts w:ascii="Book Antiqua" w:eastAsia="Book Antiqua" w:hAnsi="Book Antiqua" w:cs="Book Antiqua"/>
          <w:i/>
          <w:sz w:val="16"/>
          <w:szCs w:val="16"/>
          <w:vertAlign w:val="superscript"/>
        </w:rPr>
        <w:t>1</w:t>
      </w:r>
      <w:r w:rsidRPr="005728C3">
        <w:rPr>
          <w:rFonts w:ascii="Book Antiqua" w:eastAsia="Book Antiqua" w:hAnsi="Book Antiqua" w:cs="Book Antiqua"/>
          <w:i/>
          <w:sz w:val="16"/>
          <w:szCs w:val="16"/>
        </w:rPr>
        <w:t xml:space="preserve"> </w:t>
      </w:r>
      <w:r w:rsidRPr="005728C3">
        <w:rPr>
          <w:rFonts w:ascii="Book Antiqua" w:eastAsia="Book Antiqua" w:hAnsi="Book Antiqua" w:cs="Book Antiqua"/>
          <w:i/>
          <w:sz w:val="16"/>
          <w:szCs w:val="16"/>
        </w:rPr>
        <w:t>Laboratório de Microbiologia de Pr</w:t>
      </w:r>
      <w:r>
        <w:rPr>
          <w:rFonts w:ascii="Book Antiqua" w:eastAsia="Book Antiqua" w:hAnsi="Book Antiqua" w:cs="Book Antiqua"/>
          <w:i/>
          <w:sz w:val="16"/>
          <w:szCs w:val="16"/>
        </w:rPr>
        <w:t>odutos Fermentados</w:t>
      </w:r>
      <w:r w:rsidRPr="005728C3">
        <w:rPr>
          <w:rFonts w:ascii="Book Antiqua" w:eastAsia="Book Antiqua" w:hAnsi="Book Antiqua" w:cs="Book Antiqua"/>
          <w:i/>
          <w:sz w:val="16"/>
          <w:szCs w:val="16"/>
        </w:rPr>
        <w:t xml:space="preserve"> (FERMICRO), Depart</w:t>
      </w:r>
      <w:r>
        <w:rPr>
          <w:rFonts w:ascii="Book Antiqua" w:eastAsia="Book Antiqua" w:hAnsi="Book Antiqua" w:cs="Book Antiqua"/>
          <w:i/>
          <w:sz w:val="16"/>
          <w:szCs w:val="16"/>
        </w:rPr>
        <w:t>amento de Microbiologia</w:t>
      </w:r>
      <w:r w:rsidRPr="005728C3">
        <w:rPr>
          <w:rFonts w:ascii="Book Antiqua" w:eastAsia="Book Antiqua" w:hAnsi="Book Antiqua" w:cs="Book Antiqua"/>
          <w:i/>
          <w:sz w:val="16"/>
          <w:szCs w:val="16"/>
        </w:rPr>
        <w:t xml:space="preserve">, </w:t>
      </w:r>
      <w:r>
        <w:rPr>
          <w:rFonts w:ascii="Book Antiqua" w:eastAsia="Book Antiqua" w:hAnsi="Book Antiqua" w:cs="Book Antiqua"/>
          <w:i/>
          <w:sz w:val="16"/>
          <w:szCs w:val="16"/>
        </w:rPr>
        <w:t xml:space="preserve">Universidade </w:t>
      </w:r>
      <w:r w:rsidRPr="005728C3">
        <w:rPr>
          <w:rFonts w:ascii="Book Antiqua" w:eastAsia="Book Antiqua" w:hAnsi="Book Antiqua" w:cs="Book Antiqua"/>
          <w:i/>
          <w:sz w:val="16"/>
          <w:szCs w:val="16"/>
        </w:rPr>
        <w:t xml:space="preserve">Federal </w:t>
      </w:r>
      <w:r>
        <w:rPr>
          <w:rFonts w:ascii="Book Antiqua" w:eastAsia="Book Antiqua" w:hAnsi="Book Antiqua" w:cs="Book Antiqua"/>
          <w:i/>
          <w:sz w:val="16"/>
          <w:szCs w:val="16"/>
        </w:rPr>
        <w:t xml:space="preserve">de </w:t>
      </w:r>
      <w:r w:rsidRPr="005728C3">
        <w:rPr>
          <w:rFonts w:ascii="Book Antiqua" w:eastAsia="Book Antiqua" w:hAnsi="Book Antiqua" w:cs="Book Antiqua"/>
          <w:i/>
          <w:sz w:val="16"/>
          <w:szCs w:val="16"/>
        </w:rPr>
        <w:t>Viçosa, Bra</w:t>
      </w:r>
      <w:r>
        <w:rPr>
          <w:rFonts w:ascii="Book Antiqua" w:eastAsia="Book Antiqua" w:hAnsi="Book Antiqua" w:cs="Book Antiqua"/>
          <w:i/>
          <w:sz w:val="16"/>
          <w:szCs w:val="16"/>
        </w:rPr>
        <w:t>sil</w:t>
      </w:r>
    </w:p>
    <w:p w14:paraId="6AB994AD" w14:textId="77777777" w:rsidR="005728C3" w:rsidRDefault="005728C3" w:rsidP="005728C3">
      <w:pPr>
        <w:pStyle w:val="Normal1"/>
        <w:spacing w:after="0" w:line="240" w:lineRule="auto"/>
        <w:ind w:left="709" w:right="1529"/>
        <w:jc w:val="both"/>
        <w:rPr>
          <w:rFonts w:ascii="Book Antiqua" w:eastAsia="Book Antiqua" w:hAnsi="Book Antiqua" w:cs="Book Antiqua"/>
          <w:i/>
          <w:sz w:val="16"/>
          <w:szCs w:val="16"/>
          <w:lang w:val="en-US"/>
        </w:rPr>
      </w:pPr>
      <w:r>
        <w:rPr>
          <w:rFonts w:ascii="Book Antiqua" w:eastAsia="Book Antiqua" w:hAnsi="Book Antiqua" w:cs="Book Antiqua"/>
          <w:i/>
          <w:sz w:val="16"/>
          <w:szCs w:val="16"/>
          <w:vertAlign w:val="superscript"/>
          <w:lang w:val="en-US"/>
        </w:rPr>
        <w:t>2</w:t>
      </w:r>
      <w:r w:rsidRPr="00E1043D">
        <w:rPr>
          <w:rFonts w:ascii="Book Antiqua" w:eastAsia="Book Antiqua" w:hAnsi="Book Antiqua" w:cs="Book Antiqua"/>
          <w:i/>
          <w:sz w:val="16"/>
          <w:szCs w:val="16"/>
          <w:lang w:val="en-US"/>
        </w:rPr>
        <w:t xml:space="preserve"> </w:t>
      </w:r>
      <w:r>
        <w:rPr>
          <w:rFonts w:ascii="Book Antiqua" w:eastAsia="Book Antiqua" w:hAnsi="Book Antiqua" w:cs="Book Antiqua"/>
          <w:i/>
          <w:sz w:val="16"/>
          <w:szCs w:val="16"/>
          <w:lang w:val="en-US"/>
        </w:rPr>
        <w:t xml:space="preserve">Agricultural and Food Development Authority (TEAGASC), </w:t>
      </w:r>
      <w:proofErr w:type="spellStart"/>
      <w:r>
        <w:rPr>
          <w:rFonts w:ascii="Book Antiqua" w:eastAsia="Book Antiqua" w:hAnsi="Book Antiqua" w:cs="Book Antiqua"/>
          <w:i/>
          <w:sz w:val="16"/>
          <w:szCs w:val="16"/>
          <w:lang w:val="en-US"/>
        </w:rPr>
        <w:t>Moorepark</w:t>
      </w:r>
      <w:proofErr w:type="spellEnd"/>
      <w:r>
        <w:rPr>
          <w:rFonts w:ascii="Book Antiqua" w:eastAsia="Book Antiqua" w:hAnsi="Book Antiqua" w:cs="Book Antiqua"/>
          <w:i/>
          <w:sz w:val="16"/>
          <w:szCs w:val="16"/>
          <w:lang w:val="en-US"/>
        </w:rPr>
        <w:t xml:space="preserve"> Research Centre, Fermoy, Ireland</w:t>
      </w:r>
      <w:r w:rsidRPr="00B3538E">
        <w:rPr>
          <w:rFonts w:ascii="Book Antiqua" w:eastAsia="Book Antiqua" w:hAnsi="Book Antiqua" w:cs="Book Antiqua"/>
          <w:i/>
          <w:sz w:val="16"/>
          <w:szCs w:val="16"/>
          <w:lang w:val="en-US"/>
        </w:rPr>
        <w:t xml:space="preserve"> </w:t>
      </w:r>
    </w:p>
    <w:p w14:paraId="6C89AFD9" w14:textId="4D50566A" w:rsidR="005728C3" w:rsidRPr="005728C3" w:rsidRDefault="005728C3" w:rsidP="005728C3">
      <w:pPr>
        <w:pStyle w:val="Normal1"/>
        <w:spacing w:after="0" w:line="240" w:lineRule="auto"/>
        <w:ind w:left="709" w:right="1529"/>
        <w:jc w:val="both"/>
        <w:rPr>
          <w:rFonts w:ascii="Book Antiqua" w:eastAsia="Book Antiqua" w:hAnsi="Book Antiqua" w:cs="Book Antiqua"/>
          <w:sz w:val="16"/>
          <w:szCs w:val="16"/>
        </w:rPr>
      </w:pPr>
      <w:r w:rsidRPr="005728C3">
        <w:rPr>
          <w:rFonts w:ascii="Book Antiqua" w:eastAsia="Book Antiqua" w:hAnsi="Book Antiqua" w:cs="Book Antiqua"/>
          <w:i/>
          <w:sz w:val="16"/>
          <w:szCs w:val="16"/>
        </w:rPr>
        <w:t xml:space="preserve">* </w:t>
      </w:r>
      <w:r w:rsidRPr="005728C3">
        <w:rPr>
          <w:rFonts w:ascii="Book Antiqua" w:eastAsia="Book Antiqua" w:hAnsi="Book Antiqua" w:cs="Book Antiqua"/>
          <w:i/>
          <w:sz w:val="16"/>
          <w:szCs w:val="16"/>
        </w:rPr>
        <w:t>Autor correspondente</w:t>
      </w:r>
      <w:r w:rsidRPr="005728C3">
        <w:rPr>
          <w:rFonts w:ascii="Book Antiqua" w:eastAsia="Book Antiqua" w:hAnsi="Book Antiqua" w:cs="Book Antiqua"/>
          <w:i/>
          <w:sz w:val="16"/>
          <w:szCs w:val="16"/>
        </w:rPr>
        <w:t>. E-mail:</w:t>
      </w:r>
      <w:r w:rsidRPr="005728C3">
        <w:rPr>
          <w:rFonts w:ascii="Book Antiqua" w:eastAsia="Book Antiqua" w:hAnsi="Book Antiqua" w:cs="Book Antiqua"/>
          <w:i/>
          <w:sz w:val="16"/>
          <w:szCs w:val="16"/>
        </w:rPr>
        <w:t xml:space="preserve"> (p</w:t>
      </w:r>
      <w:r>
        <w:rPr>
          <w:rFonts w:ascii="Book Antiqua" w:eastAsia="Book Antiqua" w:hAnsi="Book Antiqua" w:cs="Book Antiqua"/>
          <w:i/>
          <w:sz w:val="16"/>
          <w:szCs w:val="16"/>
        </w:rPr>
        <w:t>reencher)</w:t>
      </w:r>
    </w:p>
    <w:p w14:paraId="49DD0A16" w14:textId="77777777" w:rsidR="004D4A6E" w:rsidRPr="005728C3" w:rsidRDefault="004D4A6E">
      <w:pPr>
        <w:pStyle w:val="Normal1"/>
        <w:pBdr>
          <w:bottom w:val="single" w:sz="12" w:space="1" w:color="000000"/>
        </w:pBdr>
        <w:spacing w:after="0" w:line="240" w:lineRule="auto"/>
        <w:ind w:left="426" w:right="1529"/>
        <w:jc w:val="both"/>
        <w:rPr>
          <w:rFonts w:ascii="Book Antiqua" w:eastAsia="Book Antiqua" w:hAnsi="Book Antiqua" w:cs="Book Antiqua"/>
          <w:sz w:val="16"/>
          <w:szCs w:val="16"/>
        </w:rPr>
      </w:pPr>
    </w:p>
    <w:p w14:paraId="3FD8BFE4" w14:textId="77777777" w:rsidR="004D4A6E" w:rsidRPr="005728C3" w:rsidRDefault="004D4A6E">
      <w:pPr>
        <w:pStyle w:val="Normal1"/>
        <w:spacing w:after="0" w:line="240" w:lineRule="auto"/>
        <w:ind w:right="1813"/>
        <w:jc w:val="both"/>
        <w:rPr>
          <w:rFonts w:ascii="Book Antiqua" w:eastAsia="Book Antiqua" w:hAnsi="Book Antiqua" w:cs="Book Antiqua"/>
          <w:sz w:val="16"/>
          <w:szCs w:val="16"/>
        </w:rPr>
      </w:pPr>
    </w:p>
    <w:p w14:paraId="6762DCCC" w14:textId="6F147D79" w:rsidR="005728C3" w:rsidRPr="005728C3" w:rsidRDefault="005728C3" w:rsidP="005728C3">
      <w:pPr>
        <w:pStyle w:val="Normal1"/>
        <w:spacing w:after="0" w:line="240" w:lineRule="auto"/>
        <w:ind w:left="709" w:right="679"/>
        <w:jc w:val="both"/>
        <w:rPr>
          <w:rFonts w:ascii="Book Antiqua" w:eastAsia="Book Antiqua" w:hAnsi="Book Antiqua" w:cs="Book Antiqua"/>
          <w:sz w:val="20"/>
          <w:szCs w:val="20"/>
        </w:rPr>
      </w:pPr>
      <w:r w:rsidRPr="005728C3">
        <w:rPr>
          <w:rFonts w:ascii="Book Antiqua" w:eastAsia="Book Antiqua" w:hAnsi="Book Antiqua" w:cs="Book Antiqua"/>
          <w:sz w:val="20"/>
          <w:szCs w:val="20"/>
        </w:rPr>
        <w:t>O mercado de bebidas fermentadas não alcoólicas tem apresentado crescimento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 expressivo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 no Brasil, especialmente a kombucha. </w:t>
      </w:r>
      <w:r w:rsidRPr="005728C3">
        <w:rPr>
          <w:rFonts w:ascii="Book Antiqua" w:eastAsia="Book Antiqua" w:hAnsi="Book Antiqua" w:cs="Book Antiqua"/>
          <w:sz w:val="20"/>
          <w:szCs w:val="20"/>
        </w:rPr>
        <w:t>A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 bebida é produzida a partir do chá (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Camellia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sinensis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) fermentado por uma comunidade microbiana composta por bactérias acéticas (AAB), bactérias ácido-láticas (LAB) e leveduras, conhecida como SCOBY. Este estudo teve como objetivo revelar o perfil microbiano de </w:t>
      </w:r>
      <w:proofErr w:type="spellStart"/>
      <w:r w:rsidRPr="005728C3">
        <w:rPr>
          <w:rFonts w:ascii="Book Antiqua" w:eastAsia="Book Antiqua" w:hAnsi="Book Antiqua" w:cs="Book Antiqua"/>
          <w:sz w:val="20"/>
          <w:szCs w:val="20"/>
        </w:rPr>
        <w:t>SCOBYs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utilizados por seis marcas brasileiras de kombucha e determinar como a microbiota influencia </w:t>
      </w:r>
      <w:proofErr w:type="gramStart"/>
      <w:r w:rsidRPr="005728C3">
        <w:rPr>
          <w:rFonts w:ascii="Book Antiqua" w:eastAsia="Book Antiqua" w:hAnsi="Book Antiqua" w:cs="Book Antiqua"/>
          <w:sz w:val="20"/>
          <w:szCs w:val="20"/>
        </w:rPr>
        <w:t>as potenciais</w:t>
      </w:r>
      <w:proofErr w:type="gram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atividades biológicas das bebidas. As amostras foram analisadas por meio de sequenciamento metagenômico do tipo </w:t>
      </w:r>
      <w:proofErr w:type="spellStart"/>
      <w:r w:rsidRPr="005728C3">
        <w:rPr>
          <w:rFonts w:ascii="Book Antiqua" w:eastAsia="Book Antiqua" w:hAnsi="Book Antiqua" w:cs="Book Antiqua"/>
          <w:sz w:val="20"/>
          <w:szCs w:val="20"/>
        </w:rPr>
        <w:t>Shotgun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. Foram determinadas a atividade antioxidante (DPPH e ABTS), a atividade antimicrobiana contra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Staphylococcus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 aureus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,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Listeria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monocytogenes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, Escherichia coli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 e </w:t>
      </w:r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Salmonella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enterica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>, bem como a produção de compostos bioativos — conteúdo de fenólicos totais (TPC) e flavonoides totais (TFC).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Para isso, amostras de kombucha foram preparadas com 0,8% m/v de chá verde e 8% m/v de sacarose adicionados à água estéril (80 ºC) por 10 min; após o resfriamento, foram adicionados 10% v/v de cultura iniciadora e uma porção de SCOBY, seguidos de fermentação por 7 dias (25 ºC). As bactérias (69,14%) predominaram na comunidade microbiana da kombucha. As famílias mais abundantes foram </w:t>
      </w:r>
      <w:proofErr w:type="spellStart"/>
      <w:r w:rsidRPr="005728C3">
        <w:rPr>
          <w:rFonts w:ascii="Book Antiqua" w:eastAsia="Book Antiqua" w:hAnsi="Book Antiqua" w:cs="Book Antiqua"/>
          <w:sz w:val="20"/>
          <w:szCs w:val="20"/>
        </w:rPr>
        <w:t>Acetobacteraceae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entre as bactérias e </w:t>
      </w:r>
      <w:proofErr w:type="spellStart"/>
      <w:r w:rsidRPr="005728C3">
        <w:rPr>
          <w:rFonts w:ascii="Book Antiqua" w:eastAsia="Book Antiqua" w:hAnsi="Book Antiqua" w:cs="Book Antiqua"/>
          <w:sz w:val="20"/>
          <w:szCs w:val="20"/>
        </w:rPr>
        <w:t>Saccharomycetaceae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e </w:t>
      </w:r>
      <w:proofErr w:type="spellStart"/>
      <w:r w:rsidRPr="005728C3">
        <w:rPr>
          <w:rFonts w:ascii="Book Antiqua" w:eastAsia="Book Antiqua" w:hAnsi="Book Antiqua" w:cs="Book Antiqua"/>
          <w:sz w:val="20"/>
          <w:szCs w:val="20"/>
        </w:rPr>
        <w:t>Trichomonascaceae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entre as leveduras.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Komagataeibacter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e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Acetobacter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foram os gêneros mais abundantes; destacaram-se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Acetobacter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musti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,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Komagataeibacter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rhaeticus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, K.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saccharivorans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e </w:t>
      </w:r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K.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intermedius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.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Brettanomyces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bruxellensis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foi a levedura mais abundante. Diferentes espécies de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Komagataeibacter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spp.,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Gluconacetobacter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sp.,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Starmerella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spp., bem como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Novacetimonas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hansenii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,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Geotrichum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candidum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,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Sugiyamaella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lignohabitans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e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Wickerhamomyces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sp. constituíram a microbiota </w:t>
      </w:r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core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 nas kombuchas brasileiras avaliadas.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A maior diversidade microbiana foi observada na amostra K16. Uma maior dominância foi observada para K28. Uma elevada </w:t>
      </w:r>
      <w:proofErr w:type="spellStart"/>
      <w:r w:rsidRPr="005728C3">
        <w:rPr>
          <w:rFonts w:ascii="Book Antiqua" w:eastAsia="Book Antiqua" w:hAnsi="Book Antiqua" w:cs="Book Antiqua"/>
          <w:sz w:val="20"/>
          <w:szCs w:val="20"/>
        </w:rPr>
        <w:t>equitabilidade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de espécies foi observada para as amostras K2 e K16. Todas as amostras apresentaram atividade antioxidante, com níveis de TPC e TFC superiores aos do chá não fermentado (controle). Atividade antimicrobiana foi observada para todas as amostras, exceto K2. As espécies </w:t>
      </w:r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Acinetobacter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guillouiae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e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Gluconacetobacter</w:t>
      </w:r>
      <w:proofErr w:type="spellEnd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 sacchari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 ocorreram apenas em K2, que apresentou o maior potencial antioxidante (DPPH: 316,80 mg/</w:t>
      </w:r>
      <w:proofErr w:type="spellStart"/>
      <w:r w:rsidRPr="005728C3">
        <w:rPr>
          <w:rFonts w:ascii="Book Antiqua" w:eastAsia="Book Antiqua" w:hAnsi="Book Antiqua" w:cs="Book Antiqua"/>
          <w:sz w:val="20"/>
          <w:szCs w:val="20"/>
        </w:rPr>
        <w:t>mL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± 0,2; ABTS: 711,24 mg/</w:t>
      </w:r>
      <w:proofErr w:type="spellStart"/>
      <w:r w:rsidRPr="005728C3">
        <w:rPr>
          <w:rFonts w:ascii="Book Antiqua" w:eastAsia="Book Antiqua" w:hAnsi="Book Antiqua" w:cs="Book Antiqua"/>
          <w:sz w:val="20"/>
          <w:szCs w:val="20"/>
        </w:rPr>
        <w:t>mL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± 1,9) e conteúdo de TPC (76,81 mg/</w:t>
      </w:r>
      <w:proofErr w:type="spellStart"/>
      <w:r w:rsidRPr="005728C3">
        <w:rPr>
          <w:rFonts w:ascii="Book Antiqua" w:eastAsia="Book Antiqua" w:hAnsi="Book Antiqua" w:cs="Book Antiqua"/>
          <w:sz w:val="20"/>
          <w:szCs w:val="20"/>
        </w:rPr>
        <w:t>mL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± 6,4), porém sem atividade antimicrobiana significativa.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Acetobacter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spp. foram observadas apenas nas amostras K10 e K13, ambas apresentando atividade contra </w:t>
      </w:r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S. aureus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 e/ou </w:t>
      </w:r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 xml:space="preserve">S.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enterica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>. A microbiota exclusiva de K16 foi composta por leveduras, influenciando positivamente principalmente o conteúdo de TFC (86,86 mg/</w:t>
      </w:r>
      <w:proofErr w:type="spellStart"/>
      <w:r w:rsidRPr="005728C3">
        <w:rPr>
          <w:rFonts w:ascii="Book Antiqua" w:eastAsia="Book Antiqua" w:hAnsi="Book Antiqua" w:cs="Book Antiqua"/>
          <w:sz w:val="20"/>
          <w:szCs w:val="20"/>
        </w:rPr>
        <w:t>mL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± 0,8).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 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De modo geral, a comunidade de leveduras foi mais diversa do que a comunidade bacteriana, apesar de ser menos abundante no chá fermentado. O aumento da diversidade microbiana na kombucha apresentou efeito positivo sobre suas atividades biológicas e sobre os compostos bioativos. Assim,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Acetobacter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spp. estiveram principalmente associados ao potencial antimicrobiano, enquanto a atividade antioxidante esteve relacionada a </w:t>
      </w:r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Acinetobacter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 sp. e </w:t>
      </w:r>
      <w:proofErr w:type="spellStart"/>
      <w:r w:rsidRPr="005728C3">
        <w:rPr>
          <w:rFonts w:ascii="Book Antiqua" w:eastAsia="Book Antiqua" w:hAnsi="Book Antiqua" w:cs="Book Antiqua"/>
          <w:i/>
          <w:iCs/>
          <w:sz w:val="20"/>
          <w:szCs w:val="20"/>
        </w:rPr>
        <w:t>Gluconacetobacter</w:t>
      </w:r>
      <w:proofErr w:type="spellEnd"/>
      <w:r w:rsidRPr="005728C3">
        <w:rPr>
          <w:rFonts w:ascii="Book Antiqua" w:eastAsia="Book Antiqua" w:hAnsi="Book Antiqua" w:cs="Book Antiqua"/>
          <w:sz w:val="20"/>
          <w:szCs w:val="20"/>
        </w:rPr>
        <w:t xml:space="preserve"> sp. Esses resultados podem trazer novos insights sobre a biossíntese de compostos de interesse, contribuindo para o desenvolvimento de kombuchas inovadoras.</w:t>
      </w:r>
    </w:p>
    <w:p w14:paraId="56BD606A" w14:textId="77777777" w:rsidR="005728C3" w:rsidRPr="005728C3" w:rsidRDefault="005728C3" w:rsidP="005728C3">
      <w:pPr>
        <w:pStyle w:val="Normal1"/>
        <w:spacing w:after="0" w:line="240" w:lineRule="auto"/>
        <w:ind w:left="709" w:right="679"/>
        <w:jc w:val="both"/>
        <w:rPr>
          <w:rFonts w:ascii="Book Antiqua" w:eastAsia="Book Antiqua" w:hAnsi="Book Antiqua" w:cs="Book Antiqua"/>
          <w:sz w:val="20"/>
          <w:szCs w:val="20"/>
        </w:rPr>
      </w:pPr>
    </w:p>
    <w:p w14:paraId="1A54DBB4" w14:textId="3A28A856" w:rsidR="00BA5BF7" w:rsidRPr="005728C3" w:rsidRDefault="005728C3" w:rsidP="005728C3">
      <w:pPr>
        <w:pStyle w:val="Normal1"/>
        <w:spacing w:after="0" w:line="240" w:lineRule="auto"/>
        <w:ind w:left="709" w:right="679"/>
        <w:jc w:val="both"/>
        <w:rPr>
          <w:rFonts w:ascii="Book Antiqua" w:eastAsia="Book Antiqua" w:hAnsi="Book Antiqua" w:cs="Book Antiqua"/>
          <w:sz w:val="20"/>
          <w:szCs w:val="20"/>
        </w:rPr>
      </w:pPr>
      <w:r w:rsidRPr="005728C3">
        <w:rPr>
          <w:rFonts w:ascii="Book Antiqua" w:eastAsia="Book Antiqua" w:hAnsi="Book Antiqua" w:cs="Book Antiqua"/>
          <w:b/>
          <w:bCs/>
          <w:sz w:val="20"/>
          <w:szCs w:val="20"/>
        </w:rPr>
        <w:t>Palavras-chave: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 Dinâmica microbiana; Retroalimentação; Fermentação; Diversidade bacteriana.</w:t>
      </w:r>
    </w:p>
    <w:p w14:paraId="78CD69F6" w14:textId="77777777" w:rsidR="005728C3" w:rsidRPr="005728C3" w:rsidRDefault="005728C3" w:rsidP="005728C3">
      <w:pPr>
        <w:pStyle w:val="Normal1"/>
        <w:spacing w:after="0" w:line="240" w:lineRule="auto"/>
        <w:ind w:left="709" w:right="679"/>
        <w:jc w:val="both"/>
        <w:rPr>
          <w:rFonts w:ascii="Book Antiqua" w:eastAsia="Book Antiqua" w:hAnsi="Book Antiqua" w:cs="Book Antiqua"/>
          <w:sz w:val="20"/>
          <w:szCs w:val="20"/>
        </w:rPr>
      </w:pPr>
    </w:p>
    <w:p w14:paraId="329E911B" w14:textId="0C735398" w:rsidR="005728C3" w:rsidRPr="005728C3" w:rsidRDefault="005728C3" w:rsidP="005728C3">
      <w:pPr>
        <w:pStyle w:val="Normal1"/>
        <w:spacing w:after="0" w:line="240" w:lineRule="auto"/>
        <w:ind w:left="709" w:right="679"/>
        <w:jc w:val="both"/>
        <w:rPr>
          <w:rFonts w:ascii="Book Antiqua" w:eastAsia="Book Antiqua" w:hAnsi="Book Antiqua" w:cs="Book Antiqua"/>
          <w:sz w:val="20"/>
          <w:szCs w:val="20"/>
        </w:rPr>
      </w:pPr>
      <w:r w:rsidRPr="005728C3">
        <w:rPr>
          <w:rFonts w:ascii="Book Antiqua" w:eastAsia="Book Antiqua" w:hAnsi="Book Antiqua" w:cs="Book Antiqua"/>
          <w:b/>
          <w:bCs/>
          <w:sz w:val="20"/>
          <w:szCs w:val="20"/>
        </w:rPr>
        <w:t>Agradecimentos:</w:t>
      </w:r>
      <w:r w:rsidRPr="005728C3">
        <w:rPr>
          <w:rFonts w:ascii="Book Antiqua" w:eastAsia="Book Antiqua" w:hAnsi="Book Antiqua" w:cs="Book Antiqua"/>
          <w:sz w:val="20"/>
          <w:szCs w:val="20"/>
        </w:rPr>
        <w:t xml:space="preserve"> FAPEMIG, CAPES e CNPq.</w:t>
      </w:r>
    </w:p>
    <w:p w14:paraId="252DE06F" w14:textId="77777777" w:rsidR="005728C3" w:rsidRPr="005728C3" w:rsidRDefault="005728C3" w:rsidP="005728C3">
      <w:pPr>
        <w:pStyle w:val="Normal1"/>
        <w:spacing w:after="0" w:line="240" w:lineRule="auto"/>
        <w:ind w:left="709" w:right="1813"/>
        <w:jc w:val="both"/>
        <w:rPr>
          <w:rFonts w:ascii="Book Antiqua" w:eastAsia="Book Antiqua" w:hAnsi="Book Antiqua" w:cs="Book Antiqua"/>
          <w:sz w:val="18"/>
          <w:szCs w:val="18"/>
        </w:rPr>
      </w:pPr>
    </w:p>
    <w:p w14:paraId="4B87024A" w14:textId="77777777" w:rsidR="004D4A6E" w:rsidRDefault="004D4A6E" w:rsidP="00515192">
      <w:pPr>
        <w:pStyle w:val="Normal1"/>
        <w:spacing w:after="0" w:line="240" w:lineRule="auto"/>
        <w:ind w:right="1813"/>
        <w:rPr>
          <w:rFonts w:ascii="Book Antiqua" w:eastAsia="Book Antiqua" w:hAnsi="Book Antiqua" w:cs="Book Antiqua"/>
          <w:sz w:val="16"/>
          <w:szCs w:val="16"/>
        </w:rPr>
      </w:pPr>
    </w:p>
    <w:sectPr w:rsidR="004D4A6E" w:rsidSect="004D4A6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794" w:bottom="851" w:left="79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36B6" w14:textId="77777777" w:rsidR="004E09C3" w:rsidRDefault="004E09C3" w:rsidP="004D4A6E">
      <w:pPr>
        <w:spacing w:after="0" w:line="240" w:lineRule="auto"/>
      </w:pPr>
      <w:r>
        <w:separator/>
      </w:r>
    </w:p>
  </w:endnote>
  <w:endnote w:type="continuationSeparator" w:id="0">
    <w:p w14:paraId="7FDE624C" w14:textId="77777777" w:rsidR="004E09C3" w:rsidRDefault="004E09C3" w:rsidP="004D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4F7C" w14:textId="77777777" w:rsidR="002650AA" w:rsidRDefault="002650AA">
    <w:pPr>
      <w:pStyle w:val="Normal1"/>
      <w:spacing w:after="0" w:line="240" w:lineRule="auto"/>
      <w:ind w:right="-30"/>
      <w:rPr>
        <w:rFonts w:ascii="Book Antiqua" w:eastAsia="Book Antiqua" w:hAnsi="Book Antiqua" w:cs="Book Antiqu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E810" w14:textId="77777777" w:rsidR="002650AA" w:rsidRDefault="002650AA">
    <w:pPr>
      <w:pStyle w:val="Normal1"/>
      <w:spacing w:after="0" w:line="240" w:lineRule="auto"/>
      <w:rPr>
        <w:rFonts w:ascii="Book Antiqua" w:eastAsia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1D21" w14:textId="77777777" w:rsidR="004E09C3" w:rsidRDefault="004E09C3" w:rsidP="004D4A6E">
      <w:pPr>
        <w:spacing w:after="0" w:line="240" w:lineRule="auto"/>
      </w:pPr>
      <w:r>
        <w:separator/>
      </w:r>
    </w:p>
  </w:footnote>
  <w:footnote w:type="continuationSeparator" w:id="0">
    <w:p w14:paraId="584BE19D" w14:textId="77777777" w:rsidR="004E09C3" w:rsidRDefault="004E09C3" w:rsidP="004D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346D" w14:textId="41D8632F" w:rsidR="002650AA" w:rsidRDefault="005728C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Book Antiqua" w:eastAsia="Book Antiqua" w:hAnsi="Book Antiqua" w:cs="Book Antiqua"/>
        <w:sz w:val="16"/>
        <w:szCs w:val="16"/>
      </w:rPr>
    </w:pPr>
    <w:r>
      <w:rPr>
        <w:rFonts w:ascii="Cambria Math" w:eastAsia="Cambria Math" w:hAnsi="Cambria Math" w:cs="Cambria Math"/>
        <w:noProof/>
        <w:color w:val="000000"/>
        <w:sz w:val="16"/>
        <w:szCs w:val="16"/>
      </w:rPr>
      <w:drawing>
        <wp:anchor distT="0" distB="0" distL="114300" distR="114300" simplePos="0" relativeHeight="251658240" behindDoc="0" locked="0" layoutInCell="1" allowOverlap="1" wp14:anchorId="6A39C0AC" wp14:editId="2561D492">
          <wp:simplePos x="0" y="0"/>
          <wp:positionH relativeFrom="margin">
            <wp:align>right</wp:align>
          </wp:positionH>
          <wp:positionV relativeFrom="paragraph">
            <wp:posOffset>-17904</wp:posOffset>
          </wp:positionV>
          <wp:extent cx="992938" cy="490145"/>
          <wp:effectExtent l="0" t="0" r="0" b="5715"/>
          <wp:wrapNone/>
          <wp:docPr id="15400043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04316" name="Imagem 15400043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938" cy="49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a"/>
      <w:tblW w:w="10031" w:type="dxa"/>
      <w:tblInd w:w="-108" w:type="dxa"/>
      <w:tblLayout w:type="fixed"/>
      <w:tblLook w:val="0000" w:firstRow="0" w:lastRow="0" w:firstColumn="0" w:lastColumn="0" w:noHBand="0" w:noVBand="0"/>
    </w:tblPr>
    <w:tblGrid>
      <w:gridCol w:w="10031"/>
    </w:tblGrid>
    <w:tr w:rsidR="005728C3" w14:paraId="479D1CBB" w14:textId="77777777" w:rsidTr="005728C3">
      <w:trPr>
        <w:cantSplit/>
        <w:tblHeader/>
      </w:trPr>
      <w:tc>
        <w:tcPr>
          <w:tcW w:w="10031" w:type="dxa"/>
        </w:tcPr>
        <w:p w14:paraId="21411563" w14:textId="7456D28D" w:rsidR="005728C3" w:rsidRDefault="005728C3">
          <w:pPr>
            <w:pStyle w:val="Normal1"/>
            <w:pBdr>
              <w:top w:val="nil"/>
              <w:left w:val="nil"/>
              <w:bottom w:val="single" w:sz="12" w:space="1" w:color="000000"/>
              <w:right w:val="nil"/>
              <w:between w:val="nil"/>
            </w:pBdr>
            <w:spacing w:after="0" w:line="240" w:lineRule="auto"/>
            <w:rPr>
              <w:rFonts w:ascii="Cambria Math" w:eastAsia="Cambria Math" w:hAnsi="Cambria Math" w:cs="Cambria Math"/>
              <w:color w:val="000000"/>
              <w:sz w:val="16"/>
              <w:szCs w:val="16"/>
            </w:rPr>
          </w:pPr>
        </w:p>
        <w:p w14:paraId="58DE3DFF" w14:textId="594A2F69" w:rsidR="005728C3" w:rsidRPr="005728C3" w:rsidRDefault="005728C3">
          <w:pPr>
            <w:pStyle w:val="Normal1"/>
            <w:pBdr>
              <w:top w:val="nil"/>
              <w:left w:val="nil"/>
              <w:bottom w:val="single" w:sz="12" w:space="1" w:color="000000"/>
              <w:right w:val="nil"/>
              <w:between w:val="nil"/>
            </w:pBdr>
            <w:spacing w:after="0" w:line="240" w:lineRule="auto"/>
            <w:rPr>
              <w:rFonts w:ascii="Book Antiqua" w:eastAsia="Book Antiqua" w:hAnsi="Book Antiqua" w:cs="Book Antiqua"/>
              <w:color w:val="000000"/>
              <w:sz w:val="20"/>
              <w:szCs w:val="20"/>
            </w:rPr>
          </w:pPr>
          <w:r w:rsidRPr="005728C3">
            <w:rPr>
              <w:rFonts w:ascii="Book Antiqua" w:eastAsia="Book Antiqua" w:hAnsi="Book Antiqua" w:cs="Book Antiqua"/>
              <w:b/>
              <w:color w:val="000000"/>
              <w:sz w:val="20"/>
              <w:szCs w:val="20"/>
            </w:rPr>
            <w:t>I WORKHOP DE ALIMENTOS E</w:t>
          </w:r>
          <w:r>
            <w:rPr>
              <w:rFonts w:ascii="Book Antiqua" w:eastAsia="Book Antiqua" w:hAnsi="Book Antiqua" w:cs="Book Antiqua"/>
              <w:b/>
              <w:color w:val="000000"/>
              <w:sz w:val="20"/>
              <w:szCs w:val="20"/>
            </w:rPr>
            <w:t xml:space="preserve"> BEBIDAS FERMENTADAS</w:t>
          </w:r>
        </w:p>
        <w:p w14:paraId="60FD40F8" w14:textId="46D45532" w:rsidR="005728C3" w:rsidRPr="005728C3" w:rsidRDefault="005728C3" w:rsidP="005D29BB">
          <w:pPr>
            <w:pStyle w:val="Normal1"/>
            <w:pBdr>
              <w:top w:val="nil"/>
              <w:left w:val="nil"/>
              <w:bottom w:val="single" w:sz="12" w:space="1" w:color="000000"/>
              <w:right w:val="nil"/>
              <w:between w:val="nil"/>
            </w:pBdr>
            <w:spacing w:after="0" w:line="240" w:lineRule="auto"/>
            <w:rPr>
              <w:rFonts w:ascii="Book Antiqua" w:eastAsia="Book Antiqua" w:hAnsi="Book Antiqua" w:cs="Book Antiqua"/>
              <w:color w:val="000000"/>
              <w:sz w:val="16"/>
              <w:szCs w:val="16"/>
            </w:rPr>
          </w:pPr>
          <w:r w:rsidRPr="005728C3">
            <w:rPr>
              <w:rFonts w:ascii="Book Antiqua" w:eastAsia="Book Antiqua" w:hAnsi="Book Antiqua" w:cs="Book Antiqua"/>
              <w:i/>
              <w:sz w:val="16"/>
              <w:szCs w:val="16"/>
            </w:rPr>
            <w:t>Viçosa</w:t>
          </w:r>
          <w:r w:rsidRPr="005728C3">
            <w:rPr>
              <w:rFonts w:ascii="Book Antiqua" w:eastAsia="Book Antiqua" w:hAnsi="Book Antiqua" w:cs="Book Antiqua"/>
              <w:i/>
              <w:color w:val="000000"/>
              <w:sz w:val="16"/>
              <w:szCs w:val="16"/>
            </w:rPr>
            <w:t xml:space="preserve">, </w:t>
          </w:r>
          <w:r w:rsidRPr="005728C3">
            <w:rPr>
              <w:rFonts w:ascii="Book Antiqua" w:eastAsia="Book Antiqua" w:hAnsi="Book Antiqua" w:cs="Book Antiqua"/>
              <w:sz w:val="16"/>
              <w:szCs w:val="16"/>
            </w:rPr>
            <w:t xml:space="preserve">29 e 30 de maio de 2026 </w:t>
          </w:r>
        </w:p>
      </w:tc>
    </w:tr>
  </w:tbl>
  <w:p w14:paraId="7163FF55" w14:textId="77777777" w:rsidR="002650AA" w:rsidRDefault="002650AA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Book Antiqua" w:eastAsia="Book Antiqua" w:hAnsi="Book Antiqua" w:cs="Book Antiqua"/>
        <w:color w:val="000000"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EE19" w14:textId="77777777" w:rsidR="002650AA" w:rsidRDefault="002650AA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Book Antiqua" w:eastAsia="Book Antiqua" w:hAnsi="Book Antiqua" w:cs="Book Antiqua"/>
        <w:color w:val="000000"/>
        <w:sz w:val="16"/>
        <w:szCs w:val="16"/>
        <w:u w:val="single"/>
      </w:rPr>
    </w:pPr>
  </w:p>
  <w:tbl>
    <w:tblPr>
      <w:tblStyle w:val="a0"/>
      <w:tblW w:w="10318" w:type="dxa"/>
      <w:tblInd w:w="-108" w:type="dxa"/>
      <w:tblLayout w:type="fixed"/>
      <w:tblLook w:val="0000" w:firstRow="0" w:lastRow="0" w:firstColumn="0" w:lastColumn="0" w:noHBand="0" w:noVBand="0"/>
    </w:tblPr>
    <w:tblGrid>
      <w:gridCol w:w="9893"/>
      <w:gridCol w:w="425"/>
    </w:tblGrid>
    <w:tr w:rsidR="002650AA" w14:paraId="6D7E3981" w14:textId="77777777">
      <w:trPr>
        <w:cantSplit/>
        <w:tblHeader/>
      </w:trPr>
      <w:tc>
        <w:tcPr>
          <w:tcW w:w="9893" w:type="dxa"/>
        </w:tcPr>
        <w:p w14:paraId="23E4E0D8" w14:textId="77777777" w:rsidR="002650AA" w:rsidRDefault="002650AA">
          <w:pPr>
            <w:pStyle w:val="Normal1"/>
            <w:pBdr>
              <w:top w:val="nil"/>
              <w:left w:val="nil"/>
              <w:bottom w:val="single" w:sz="12" w:space="1" w:color="000000"/>
              <w:right w:val="nil"/>
              <w:between w:val="nil"/>
            </w:pBdr>
            <w:tabs>
              <w:tab w:val="right" w:pos="10318"/>
            </w:tabs>
            <w:spacing w:after="0" w:line="240" w:lineRule="auto"/>
            <w:rPr>
              <w:rFonts w:ascii="Book Antiqua" w:eastAsia="Book Antiqua" w:hAnsi="Book Antiqua" w:cs="Book Antiqua"/>
              <w:color w:val="000000"/>
              <w:sz w:val="16"/>
              <w:szCs w:val="16"/>
            </w:rPr>
          </w:pPr>
        </w:p>
        <w:p w14:paraId="1E9274F2" w14:textId="77777777" w:rsidR="002650AA" w:rsidRDefault="00000000">
          <w:pPr>
            <w:pStyle w:val="Normal1"/>
            <w:pBdr>
              <w:top w:val="nil"/>
              <w:left w:val="nil"/>
              <w:bottom w:val="single" w:sz="12" w:space="1" w:color="000000"/>
              <w:right w:val="nil"/>
              <w:between w:val="nil"/>
            </w:pBdr>
            <w:tabs>
              <w:tab w:val="right" w:pos="10318"/>
            </w:tabs>
            <w:spacing w:after="0" w:line="240" w:lineRule="auto"/>
            <w:rPr>
              <w:rFonts w:ascii="Book Antiqua" w:eastAsia="Book Antiqua" w:hAnsi="Book Antiqua" w:cs="Book Antiqua"/>
              <w:color w:val="000000"/>
              <w:sz w:val="16"/>
              <w:szCs w:val="16"/>
            </w:rPr>
          </w:pPr>
          <w:r>
            <w:fldChar w:fldCharType="begin"/>
          </w:r>
          <w:r w:rsidRPr="00972738">
            <w:rPr>
              <w:lang w:val="en-IE"/>
              <w:rPrChange w:id="0" w:author="User" w:date="2023-08-28T09:55:00Z">
                <w:rPr/>
              </w:rPrChange>
            </w:rPr>
            <w:instrText>HYPERLINK "https://www.ifgoiano.edu.br/periodicos/index.php/multiscience/index" \h</w:instrText>
          </w:r>
          <w:r>
            <w:fldChar w:fldCharType="separate"/>
          </w:r>
          <w:r w:rsidR="002650AA" w:rsidRPr="005D29BB">
            <w:rPr>
              <w:rFonts w:ascii="Book Antiqua" w:eastAsia="Book Antiqua" w:hAnsi="Book Antiqua" w:cs="Book Antiqua"/>
              <w:b/>
              <w:color w:val="000000"/>
              <w:sz w:val="20"/>
              <w:szCs w:val="20"/>
              <w:lang w:val="en-US"/>
            </w:rPr>
            <w:t>Multi-Science Journal</w:t>
          </w:r>
          <w:r>
            <w:rPr>
              <w:rFonts w:ascii="Book Antiqua" w:eastAsia="Book Antiqua" w:hAnsi="Book Antiqua" w:cs="Book Antiqua"/>
              <w:b/>
              <w:color w:val="000000"/>
              <w:sz w:val="20"/>
              <w:szCs w:val="20"/>
              <w:lang w:val="en-US"/>
            </w:rPr>
            <w:fldChar w:fldCharType="end"/>
          </w:r>
          <w:r w:rsidR="002650AA" w:rsidRPr="005D29BB">
            <w:rPr>
              <w:rFonts w:ascii="Book Antiqua" w:eastAsia="Book Antiqua" w:hAnsi="Book Antiqua" w:cs="Book Antiqua"/>
              <w:color w:val="000000"/>
              <w:sz w:val="20"/>
              <w:szCs w:val="20"/>
              <w:lang w:val="en-US"/>
            </w:rPr>
            <w:t xml:space="preserve">, 3 (Special issue: I CoPU), 16. </w:t>
          </w:r>
          <w:r w:rsidR="002650AA">
            <w:rPr>
              <w:rFonts w:ascii="Book Antiqua" w:eastAsia="Book Antiqua" w:hAnsi="Book Antiqua" w:cs="Book Antiqua"/>
              <w:color w:val="000000"/>
              <w:sz w:val="20"/>
              <w:szCs w:val="20"/>
            </w:rPr>
            <w:t>2020</w:t>
          </w:r>
        </w:p>
      </w:tc>
      <w:tc>
        <w:tcPr>
          <w:tcW w:w="425" w:type="dxa"/>
          <w:vAlign w:val="center"/>
        </w:tcPr>
        <w:p w14:paraId="739D1D69" w14:textId="77777777" w:rsidR="002650AA" w:rsidRDefault="005A597A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18"/>
            </w:tabs>
            <w:spacing w:after="0" w:line="240" w:lineRule="auto"/>
            <w:jc w:val="center"/>
            <w:rPr>
              <w:rFonts w:ascii="Book Antiqua" w:eastAsia="Book Antiqua" w:hAnsi="Book Antiqua" w:cs="Book Antiqua"/>
              <w:color w:val="000000"/>
              <w:sz w:val="20"/>
              <w:szCs w:val="20"/>
            </w:rPr>
          </w:pPr>
          <w:r>
            <w:rPr>
              <w:rFonts w:ascii="Book Antiqua" w:eastAsia="Book Antiqua" w:hAnsi="Book Antiqua" w:cs="Book Antiqua"/>
              <w:color w:val="000000"/>
              <w:sz w:val="16"/>
              <w:szCs w:val="16"/>
            </w:rPr>
            <w:fldChar w:fldCharType="begin"/>
          </w:r>
          <w:r w:rsidR="002650AA">
            <w:rPr>
              <w:rFonts w:ascii="Book Antiqua" w:eastAsia="Book Antiqua" w:hAnsi="Book Antiqua" w:cs="Book Antiqua"/>
              <w:color w:val="000000"/>
              <w:sz w:val="16"/>
              <w:szCs w:val="16"/>
            </w:rPr>
            <w:instrText>PAGE</w:instrText>
          </w:r>
          <w:r>
            <w:rPr>
              <w:rFonts w:ascii="Book Antiqua" w:eastAsia="Book Antiqua" w:hAnsi="Book Antiqua" w:cs="Book Antiqua"/>
              <w:color w:val="000000"/>
              <w:sz w:val="16"/>
              <w:szCs w:val="16"/>
            </w:rPr>
            <w:fldChar w:fldCharType="end"/>
          </w:r>
        </w:p>
      </w:tc>
    </w:tr>
  </w:tbl>
  <w:p w14:paraId="1E710D84" w14:textId="77777777" w:rsidR="002650AA" w:rsidRDefault="002650AA">
    <w:pPr>
      <w:pStyle w:val="Normal1"/>
      <w:pBdr>
        <w:top w:val="nil"/>
        <w:left w:val="nil"/>
        <w:bottom w:val="nil"/>
        <w:right w:val="nil"/>
        <w:between w:val="nil"/>
      </w:pBdr>
      <w:tabs>
        <w:tab w:val="right" w:pos="10318"/>
      </w:tabs>
      <w:spacing w:after="0" w:line="240" w:lineRule="auto"/>
      <w:rPr>
        <w:rFonts w:ascii="Book Antiqua" w:eastAsia="Book Antiqua" w:hAnsi="Book Antiqua" w:cs="Book Antiqua"/>
        <w:color w:val="000000"/>
        <w:sz w:val="16"/>
        <w:szCs w:val="16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6E"/>
    <w:rsid w:val="00053CE6"/>
    <w:rsid w:val="00100197"/>
    <w:rsid w:val="001330AC"/>
    <w:rsid w:val="00194055"/>
    <w:rsid w:val="001F74B7"/>
    <w:rsid w:val="002650AA"/>
    <w:rsid w:val="00277B5D"/>
    <w:rsid w:val="002A0F25"/>
    <w:rsid w:val="002F0F95"/>
    <w:rsid w:val="0030069D"/>
    <w:rsid w:val="003239EA"/>
    <w:rsid w:val="003A4932"/>
    <w:rsid w:val="004242B7"/>
    <w:rsid w:val="004D4A6E"/>
    <w:rsid w:val="004E09C3"/>
    <w:rsid w:val="00504D84"/>
    <w:rsid w:val="00515192"/>
    <w:rsid w:val="005728C3"/>
    <w:rsid w:val="005A597A"/>
    <w:rsid w:val="005D29BB"/>
    <w:rsid w:val="006C051B"/>
    <w:rsid w:val="00710C3D"/>
    <w:rsid w:val="00842E4E"/>
    <w:rsid w:val="00926BAA"/>
    <w:rsid w:val="00972738"/>
    <w:rsid w:val="00980D25"/>
    <w:rsid w:val="009A630A"/>
    <w:rsid w:val="00A26C4D"/>
    <w:rsid w:val="00A57737"/>
    <w:rsid w:val="00A66219"/>
    <w:rsid w:val="00B20F70"/>
    <w:rsid w:val="00BA1DC8"/>
    <w:rsid w:val="00BA5BF7"/>
    <w:rsid w:val="00D432F2"/>
    <w:rsid w:val="00D54CB0"/>
    <w:rsid w:val="00E1043D"/>
    <w:rsid w:val="00E23057"/>
    <w:rsid w:val="00F71817"/>
    <w:rsid w:val="00FA5895"/>
    <w:rsid w:val="00F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09DEB"/>
  <w15:docId w15:val="{9AB2176B-8FDE-4F94-A0A7-BB46DA3C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97A"/>
  </w:style>
  <w:style w:type="paragraph" w:styleId="Ttulo1">
    <w:name w:val="heading 1"/>
    <w:basedOn w:val="Normal1"/>
    <w:next w:val="Normal1"/>
    <w:rsid w:val="004D4A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4D4A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4D4A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D4A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4D4A6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4D4A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D4A6E"/>
  </w:style>
  <w:style w:type="table" w:customStyle="1" w:styleId="TableNormal">
    <w:name w:val="Table Normal"/>
    <w:rsid w:val="004D4A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D4A6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4D4A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D4A6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D4A6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D2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9BB"/>
  </w:style>
  <w:style w:type="paragraph" w:styleId="Rodap">
    <w:name w:val="footer"/>
    <w:basedOn w:val="Normal"/>
    <w:link w:val="RodapChar"/>
    <w:uiPriority w:val="99"/>
    <w:unhideWhenUsed/>
    <w:rsid w:val="005D2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9BB"/>
  </w:style>
  <w:style w:type="paragraph" w:styleId="Reviso">
    <w:name w:val="Revision"/>
    <w:hidden/>
    <w:uiPriority w:val="99"/>
    <w:semiHidden/>
    <w:rsid w:val="00FB196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B19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19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196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19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196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0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47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230872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20933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8806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278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713080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339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3515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226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1846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0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3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097490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16393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655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259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916722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8119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37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8975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100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6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scientia</dc:creator>
  <cp:lastModifiedBy>Guilherme Martin</cp:lastModifiedBy>
  <cp:revision>2</cp:revision>
  <dcterms:created xsi:type="dcterms:W3CDTF">2026-03-12T18:53:00Z</dcterms:created>
  <dcterms:modified xsi:type="dcterms:W3CDTF">2026-03-12T18:53:00Z</dcterms:modified>
</cp:coreProperties>
</file>